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F06869" w14:textId="77777777" w:rsidR="00AD4BDC" w:rsidRPr="00AD4BDC" w:rsidRDefault="00AD4BDC" w:rsidP="00AD4BDC">
      <w:pPr>
        <w:rPr>
          <w:b/>
          <w:bCs/>
          <w:sz w:val="24"/>
          <w:szCs w:val="24"/>
        </w:rPr>
      </w:pPr>
      <w:r w:rsidRPr="00AD4BDC">
        <w:rPr>
          <w:b/>
          <w:bCs/>
          <w:sz w:val="24"/>
          <w:szCs w:val="24"/>
        </w:rPr>
        <w:t xml:space="preserve">Kommentar: Methodencurriculum </w:t>
      </w:r>
    </w:p>
    <w:p w14:paraId="2DE28B9E" w14:textId="77777777" w:rsidR="00AD4BDC" w:rsidRPr="00AD4BDC" w:rsidRDefault="00AD4BDC" w:rsidP="00AD4BDC">
      <w:pPr>
        <w:rPr>
          <w:sz w:val="24"/>
          <w:szCs w:val="24"/>
        </w:rPr>
      </w:pPr>
      <w:r w:rsidRPr="00AD4BDC">
        <w:rPr>
          <w:sz w:val="24"/>
          <w:szCs w:val="24"/>
        </w:rPr>
        <w:t>In dem Bemühen, verbindliche Absprachen zu treffen, stehen die methodischen Kompetenzen im Fokus. Im Methodencurriculum der Schule, das sich derzeit im Aufbau befindet, ist verbindlich festgeschrieben, welche Methoden zu welchem Zeitpunkt zum gängigen Repertoire der Schülerinnen und Schüler gehören sollen. Die Lernenden können so selbstständig Inhalte erarbeiten lernen und zu eigenverantwortlichen Lernen werden. Zu den Absprachen gehört auch das Führen von Mappen, Heften und Listen:</w:t>
      </w:r>
    </w:p>
    <w:tbl>
      <w:tblPr>
        <w:tblW w:w="52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6"/>
        <w:gridCol w:w="8933"/>
      </w:tblGrid>
      <w:tr w:rsidR="00AD4BDC" w:rsidRPr="00AD4BDC" w14:paraId="3444BD02" w14:textId="77777777">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14:paraId="6712EF75" w14:textId="77777777" w:rsidR="00AD4BDC" w:rsidRPr="00AD4BDC" w:rsidRDefault="00AD4BDC" w:rsidP="00AD4BDC">
            <w:pPr>
              <w:rPr>
                <w:sz w:val="24"/>
                <w:szCs w:val="24"/>
              </w:rPr>
            </w:pPr>
            <w:r w:rsidRPr="00AD4BDC">
              <w:rPr>
                <w:sz w:val="24"/>
                <w:szCs w:val="24"/>
              </w:rPr>
              <w:t>5/6</w:t>
            </w:r>
          </w:p>
        </w:tc>
        <w:tc>
          <w:tcPr>
            <w:tcW w:w="4650" w:type="pct"/>
            <w:tcBorders>
              <w:top w:val="outset" w:sz="6" w:space="0" w:color="auto"/>
              <w:left w:val="outset" w:sz="6" w:space="0" w:color="auto"/>
              <w:bottom w:val="outset" w:sz="6" w:space="0" w:color="auto"/>
              <w:right w:val="outset" w:sz="6" w:space="0" w:color="auto"/>
            </w:tcBorders>
            <w:hideMark/>
          </w:tcPr>
          <w:p w14:paraId="5C794B25" w14:textId="77777777" w:rsidR="00AD4BDC" w:rsidRPr="00AD4BDC" w:rsidRDefault="00AD4BDC" w:rsidP="00AD4BDC">
            <w:pPr>
              <w:rPr>
                <w:sz w:val="24"/>
                <w:szCs w:val="24"/>
              </w:rPr>
            </w:pPr>
            <w:proofErr w:type="spellStart"/>
            <w:r w:rsidRPr="00AD4BDC">
              <w:rPr>
                <w:sz w:val="24"/>
                <w:szCs w:val="24"/>
              </w:rPr>
              <w:t>Mindmapping</w:t>
            </w:r>
            <w:proofErr w:type="spellEnd"/>
            <w:r w:rsidRPr="00AD4BDC">
              <w:rPr>
                <w:sz w:val="24"/>
                <w:szCs w:val="24"/>
              </w:rPr>
              <w:br/>
              <w:t>Lesetechniken</w:t>
            </w:r>
            <w:r w:rsidRPr="00AD4BDC">
              <w:rPr>
                <w:sz w:val="24"/>
                <w:szCs w:val="24"/>
              </w:rPr>
              <w:br/>
              <w:t>Präsentationstechniken und Kurzpräsentationen</w:t>
            </w:r>
            <w:r w:rsidRPr="00AD4BDC">
              <w:rPr>
                <w:sz w:val="24"/>
                <w:szCs w:val="24"/>
              </w:rPr>
              <w:br/>
              <w:t xml:space="preserve">Kooperative Lernformen: T-P-S, </w:t>
            </w:r>
            <w:proofErr w:type="spellStart"/>
            <w:r w:rsidRPr="00AD4BDC">
              <w:rPr>
                <w:sz w:val="24"/>
                <w:szCs w:val="24"/>
              </w:rPr>
              <w:t>placemat</w:t>
            </w:r>
            <w:proofErr w:type="spellEnd"/>
            <w:r w:rsidRPr="00AD4BDC">
              <w:rPr>
                <w:sz w:val="24"/>
                <w:szCs w:val="24"/>
              </w:rPr>
              <w:t>, Lerntempoduett, Verabredungspartner</w:t>
            </w:r>
            <w:r w:rsidRPr="00AD4BDC">
              <w:rPr>
                <w:sz w:val="24"/>
                <w:szCs w:val="24"/>
              </w:rPr>
              <w:br/>
              <w:t>Heftführung</w:t>
            </w:r>
            <w:r w:rsidRPr="00AD4BDC">
              <w:rPr>
                <w:sz w:val="24"/>
                <w:szCs w:val="24"/>
              </w:rPr>
              <w:br/>
              <w:t>Ablage/Mappen</w:t>
            </w:r>
          </w:p>
        </w:tc>
      </w:tr>
      <w:tr w:rsidR="00AD4BDC" w:rsidRPr="00AD4BDC" w14:paraId="039413EC" w14:textId="77777777">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14:paraId="4C13C526" w14:textId="77777777" w:rsidR="00AD4BDC" w:rsidRPr="00AD4BDC" w:rsidRDefault="00AD4BDC" w:rsidP="00AD4BDC">
            <w:pPr>
              <w:rPr>
                <w:sz w:val="24"/>
                <w:szCs w:val="24"/>
              </w:rPr>
            </w:pPr>
            <w:r w:rsidRPr="00AD4BDC">
              <w:rPr>
                <w:sz w:val="24"/>
                <w:szCs w:val="24"/>
              </w:rPr>
              <w:t>7/8</w:t>
            </w:r>
          </w:p>
        </w:tc>
        <w:tc>
          <w:tcPr>
            <w:tcW w:w="4650" w:type="pct"/>
            <w:tcBorders>
              <w:top w:val="outset" w:sz="6" w:space="0" w:color="auto"/>
              <w:left w:val="outset" w:sz="6" w:space="0" w:color="auto"/>
              <w:bottom w:val="outset" w:sz="6" w:space="0" w:color="auto"/>
              <w:right w:val="outset" w:sz="6" w:space="0" w:color="auto"/>
            </w:tcBorders>
            <w:hideMark/>
          </w:tcPr>
          <w:p w14:paraId="2D7F3153" w14:textId="77777777" w:rsidR="00AD4BDC" w:rsidRPr="00AD4BDC" w:rsidRDefault="00AD4BDC" w:rsidP="00AD4BDC">
            <w:pPr>
              <w:rPr>
                <w:sz w:val="24"/>
                <w:szCs w:val="24"/>
              </w:rPr>
            </w:pPr>
            <w:r w:rsidRPr="00AD4BDC">
              <w:rPr>
                <w:sz w:val="24"/>
                <w:szCs w:val="24"/>
              </w:rPr>
              <w:t xml:space="preserve">Fortsetzung und </w:t>
            </w:r>
            <w:proofErr w:type="gramStart"/>
            <w:r w:rsidRPr="00AD4BDC">
              <w:rPr>
                <w:sz w:val="24"/>
                <w:szCs w:val="24"/>
              </w:rPr>
              <w:t>Erweiterung :</w:t>
            </w:r>
            <w:proofErr w:type="gramEnd"/>
            <w:r w:rsidRPr="00AD4BDC">
              <w:rPr>
                <w:sz w:val="24"/>
                <w:szCs w:val="24"/>
              </w:rPr>
              <w:br/>
            </w:r>
            <w:proofErr w:type="spellStart"/>
            <w:r w:rsidRPr="00AD4BDC">
              <w:rPr>
                <w:sz w:val="24"/>
                <w:szCs w:val="24"/>
              </w:rPr>
              <w:t>Mindmapping</w:t>
            </w:r>
            <w:proofErr w:type="spellEnd"/>
            <w:r w:rsidRPr="00AD4BDC">
              <w:rPr>
                <w:sz w:val="24"/>
                <w:szCs w:val="24"/>
              </w:rPr>
              <w:t>, Lesetechniken, Präsentationstechniken und Präsentationen</w:t>
            </w:r>
            <w:r w:rsidRPr="00AD4BDC">
              <w:rPr>
                <w:sz w:val="24"/>
                <w:szCs w:val="24"/>
              </w:rPr>
              <w:br/>
              <w:t>Kooperative Lernformen: Forts. 6 und Gruppenpuzzle, Marktplatz, Doppelstuhlkreis</w:t>
            </w:r>
            <w:r w:rsidRPr="00AD4BDC">
              <w:rPr>
                <w:sz w:val="24"/>
                <w:szCs w:val="24"/>
              </w:rPr>
              <w:br/>
              <w:t>Heftführung</w:t>
            </w:r>
            <w:r w:rsidRPr="00AD4BDC">
              <w:rPr>
                <w:sz w:val="24"/>
                <w:szCs w:val="24"/>
              </w:rPr>
              <w:br/>
              <w:t>Ablage/Mappen</w:t>
            </w:r>
          </w:p>
        </w:tc>
      </w:tr>
      <w:tr w:rsidR="00AD4BDC" w:rsidRPr="00AD4BDC" w14:paraId="6E29463F" w14:textId="77777777">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14:paraId="62CD053F" w14:textId="77777777" w:rsidR="00AD4BDC" w:rsidRPr="00AD4BDC" w:rsidRDefault="00AD4BDC" w:rsidP="00AD4BDC">
            <w:pPr>
              <w:rPr>
                <w:sz w:val="24"/>
                <w:szCs w:val="24"/>
              </w:rPr>
            </w:pPr>
            <w:r w:rsidRPr="00AD4BDC">
              <w:rPr>
                <w:sz w:val="24"/>
                <w:szCs w:val="24"/>
              </w:rPr>
              <w:t>9/10</w:t>
            </w:r>
          </w:p>
        </w:tc>
        <w:tc>
          <w:tcPr>
            <w:tcW w:w="4650" w:type="pct"/>
            <w:tcBorders>
              <w:top w:val="outset" w:sz="6" w:space="0" w:color="auto"/>
              <w:left w:val="outset" w:sz="6" w:space="0" w:color="auto"/>
              <w:bottom w:val="outset" w:sz="6" w:space="0" w:color="auto"/>
              <w:right w:val="outset" w:sz="6" w:space="0" w:color="auto"/>
            </w:tcBorders>
            <w:hideMark/>
          </w:tcPr>
          <w:p w14:paraId="6E4F2AC9" w14:textId="77777777" w:rsidR="00AD4BDC" w:rsidRPr="00AD4BDC" w:rsidRDefault="00AD4BDC" w:rsidP="00AD4BDC">
            <w:pPr>
              <w:rPr>
                <w:sz w:val="24"/>
                <w:szCs w:val="24"/>
              </w:rPr>
            </w:pPr>
            <w:r w:rsidRPr="00AD4BDC">
              <w:rPr>
                <w:sz w:val="24"/>
                <w:szCs w:val="24"/>
              </w:rPr>
              <w:t>Fortsetzung und Erweiterung:</w:t>
            </w:r>
            <w:r w:rsidRPr="00AD4BDC">
              <w:rPr>
                <w:sz w:val="24"/>
                <w:szCs w:val="24"/>
              </w:rPr>
              <w:br/>
            </w:r>
            <w:proofErr w:type="spellStart"/>
            <w:r w:rsidRPr="00AD4BDC">
              <w:rPr>
                <w:sz w:val="24"/>
                <w:szCs w:val="24"/>
              </w:rPr>
              <w:t>Mindmapping</w:t>
            </w:r>
            <w:proofErr w:type="spellEnd"/>
            <w:r w:rsidRPr="00AD4BDC">
              <w:rPr>
                <w:sz w:val="24"/>
                <w:szCs w:val="24"/>
              </w:rPr>
              <w:t>, Lesetechniken, Präsentationstechniken und Präsentationen</w:t>
            </w:r>
            <w:r w:rsidRPr="00AD4BDC">
              <w:rPr>
                <w:sz w:val="24"/>
                <w:szCs w:val="24"/>
              </w:rPr>
              <w:br/>
              <w:t xml:space="preserve">Kooperative Lernformen: Forts. </w:t>
            </w:r>
            <w:proofErr w:type="gramStart"/>
            <w:r w:rsidRPr="00AD4BDC">
              <w:rPr>
                <w:sz w:val="24"/>
                <w:szCs w:val="24"/>
              </w:rPr>
              <w:t>6 ,</w:t>
            </w:r>
            <w:proofErr w:type="gramEnd"/>
            <w:r w:rsidRPr="00AD4BDC">
              <w:rPr>
                <w:sz w:val="24"/>
                <w:szCs w:val="24"/>
              </w:rPr>
              <w:t xml:space="preserve"> 7/8 und Galeriegang</w:t>
            </w:r>
            <w:r w:rsidRPr="00AD4BDC">
              <w:rPr>
                <w:sz w:val="24"/>
                <w:szCs w:val="24"/>
              </w:rPr>
              <w:br/>
              <w:t>Heftführung</w:t>
            </w:r>
            <w:r w:rsidRPr="00AD4BDC">
              <w:rPr>
                <w:sz w:val="24"/>
                <w:szCs w:val="24"/>
              </w:rPr>
              <w:br/>
              <w:t>Ablage/Mappen</w:t>
            </w:r>
          </w:p>
        </w:tc>
      </w:tr>
    </w:tbl>
    <w:p w14:paraId="4078C803" w14:textId="77777777" w:rsidR="00AD4BDC" w:rsidRPr="00AD4BDC" w:rsidRDefault="00AD4BDC" w:rsidP="00AD4BDC">
      <w:pPr>
        <w:rPr>
          <w:sz w:val="24"/>
          <w:szCs w:val="24"/>
        </w:rPr>
      </w:pPr>
      <w:r w:rsidRPr="00AD4BDC">
        <w:rPr>
          <w:b/>
          <w:bCs/>
          <w:sz w:val="24"/>
          <w:szCs w:val="24"/>
        </w:rPr>
        <w:t> </w:t>
      </w:r>
    </w:p>
    <w:p w14:paraId="749DEEEF" w14:textId="77777777" w:rsidR="00AD4BDC" w:rsidRPr="00AD4BDC" w:rsidRDefault="00AD4BDC" w:rsidP="00AD4BDC">
      <w:pPr>
        <w:rPr>
          <w:sz w:val="24"/>
          <w:szCs w:val="24"/>
        </w:rPr>
      </w:pPr>
      <w:r w:rsidRPr="00AD4BDC">
        <w:rPr>
          <w:sz w:val="24"/>
          <w:szCs w:val="24"/>
        </w:rPr>
        <w:t> </w:t>
      </w:r>
    </w:p>
    <w:p w14:paraId="1138C05B" w14:textId="77777777" w:rsidR="00CA6FAB" w:rsidRPr="00AD4BDC" w:rsidRDefault="00CA6FAB" w:rsidP="00AD4BDC">
      <w:pPr>
        <w:rPr>
          <w:sz w:val="24"/>
          <w:szCs w:val="24"/>
        </w:rPr>
      </w:pPr>
    </w:p>
    <w:sectPr w:rsidR="00CA6FAB" w:rsidRPr="00AD4BD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11701B"/>
    <w:multiLevelType w:val="multilevel"/>
    <w:tmpl w:val="0EE6E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53B5AA0"/>
    <w:multiLevelType w:val="multilevel"/>
    <w:tmpl w:val="0FCA3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15483576">
    <w:abstractNumId w:val="0"/>
  </w:num>
  <w:num w:numId="2" w16cid:durableId="1787868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9F"/>
    <w:rsid w:val="00102500"/>
    <w:rsid w:val="002A7AE6"/>
    <w:rsid w:val="00410797"/>
    <w:rsid w:val="00542BBB"/>
    <w:rsid w:val="007A6194"/>
    <w:rsid w:val="00880B9F"/>
    <w:rsid w:val="008D7F88"/>
    <w:rsid w:val="00960B42"/>
    <w:rsid w:val="00A7768A"/>
    <w:rsid w:val="00AD4BDC"/>
    <w:rsid w:val="00CA6FAB"/>
    <w:rsid w:val="00E375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42B6A"/>
  <w15:chartTrackingRefBased/>
  <w15:docId w15:val="{FF3D4A9A-81AE-427C-A059-3311A4DA9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80B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80B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880B9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80B9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80B9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80B9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80B9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80B9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80B9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B9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80B9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80B9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80B9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80B9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80B9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80B9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80B9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80B9F"/>
    <w:rPr>
      <w:rFonts w:eastAsiaTheme="majorEastAsia" w:cstheme="majorBidi"/>
      <w:color w:val="272727" w:themeColor="text1" w:themeTint="D8"/>
    </w:rPr>
  </w:style>
  <w:style w:type="paragraph" w:styleId="Titel">
    <w:name w:val="Title"/>
    <w:basedOn w:val="Standard"/>
    <w:next w:val="Standard"/>
    <w:link w:val="TitelZchn"/>
    <w:uiPriority w:val="10"/>
    <w:qFormat/>
    <w:rsid w:val="00880B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80B9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80B9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80B9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80B9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80B9F"/>
    <w:rPr>
      <w:i/>
      <w:iCs/>
      <w:color w:val="404040" w:themeColor="text1" w:themeTint="BF"/>
    </w:rPr>
  </w:style>
  <w:style w:type="paragraph" w:styleId="Listenabsatz">
    <w:name w:val="List Paragraph"/>
    <w:basedOn w:val="Standard"/>
    <w:uiPriority w:val="34"/>
    <w:qFormat/>
    <w:rsid w:val="00880B9F"/>
    <w:pPr>
      <w:ind w:left="720"/>
      <w:contextualSpacing/>
    </w:pPr>
  </w:style>
  <w:style w:type="character" w:styleId="IntensiveHervorhebung">
    <w:name w:val="Intense Emphasis"/>
    <w:basedOn w:val="Absatz-Standardschriftart"/>
    <w:uiPriority w:val="21"/>
    <w:qFormat/>
    <w:rsid w:val="00880B9F"/>
    <w:rPr>
      <w:i/>
      <w:iCs/>
      <w:color w:val="0F4761" w:themeColor="accent1" w:themeShade="BF"/>
    </w:rPr>
  </w:style>
  <w:style w:type="paragraph" w:styleId="IntensivesZitat">
    <w:name w:val="Intense Quote"/>
    <w:basedOn w:val="Standard"/>
    <w:next w:val="Standard"/>
    <w:link w:val="IntensivesZitatZchn"/>
    <w:uiPriority w:val="30"/>
    <w:qFormat/>
    <w:rsid w:val="00880B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80B9F"/>
    <w:rPr>
      <w:i/>
      <w:iCs/>
      <w:color w:val="0F4761" w:themeColor="accent1" w:themeShade="BF"/>
    </w:rPr>
  </w:style>
  <w:style w:type="character" w:styleId="IntensiverVerweis">
    <w:name w:val="Intense Reference"/>
    <w:basedOn w:val="Absatz-Standardschriftart"/>
    <w:uiPriority w:val="32"/>
    <w:qFormat/>
    <w:rsid w:val="00880B9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952</Characters>
  <DocSecurity>0</DocSecurity>
  <Lines>7</Lines>
  <Paragraphs>2</Paragraphs>
  <ScaleCrop>false</ScaleCrop>
  <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2025-09-04T13:58:00Z</dcterms:created>
  <dcterms:modified xsi:type="dcterms:W3CDTF">2025-09-04T13:58:00Z</dcterms:modified>
</cp:coreProperties>
</file>